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7633" w:rsidRDefault="004B0D86">
      <w:pPr>
        <w:pStyle w:val="a8"/>
        <w:tabs>
          <w:tab w:val="clear" w:pos="8306"/>
          <w:tab w:val="right" w:pos="7088"/>
          <w:tab w:val="right" w:pos="9781"/>
        </w:tabs>
        <w:spacing w:after="0"/>
        <w:rPr>
          <w:rFonts w:ascii="Arial" w:hAnsi="Arial" w:cs="Arial"/>
          <w:b/>
          <w:bCs/>
          <w:sz w:val="22"/>
        </w:rPr>
      </w:pPr>
      <w:r>
        <w:rPr>
          <w:rFonts w:ascii="Arial" w:hAnsi="Arial" w:cs="Arial"/>
          <w:b/>
          <w:bCs/>
          <w:sz w:val="22"/>
        </w:rPr>
        <w:t>3GPP TSG RAN WG1 Meeting #1</w:t>
      </w:r>
      <w:r w:rsidR="00326533">
        <w:rPr>
          <w:rFonts w:ascii="Arial" w:hAnsi="Arial" w:cs="Arial"/>
          <w:b/>
          <w:bCs/>
          <w:sz w:val="22"/>
        </w:rPr>
        <w:t>12</w:t>
      </w:r>
      <w:r>
        <w:rPr>
          <w:rFonts w:ascii="Arial" w:hAnsi="Arial" w:cs="Arial"/>
          <w:b/>
          <w:bCs/>
          <w:sz w:val="22"/>
        </w:rPr>
        <w:tab/>
      </w:r>
      <w:r>
        <w:rPr>
          <w:rFonts w:ascii="Arial" w:hAnsi="Arial" w:cs="Arial"/>
          <w:b/>
          <w:bCs/>
          <w:sz w:val="22"/>
        </w:rPr>
        <w:tab/>
      </w:r>
      <w:r>
        <w:rPr>
          <w:rFonts w:ascii="Arial" w:hAnsi="Arial" w:cs="Arial"/>
          <w:b/>
          <w:bCs/>
          <w:sz w:val="22"/>
        </w:rPr>
        <w:tab/>
      </w:r>
      <w:r w:rsidR="008F0437" w:rsidRPr="008F0437">
        <w:rPr>
          <w:rFonts w:ascii="Arial" w:hAnsi="Arial" w:cs="Arial"/>
          <w:b/>
          <w:bCs/>
          <w:sz w:val="22"/>
        </w:rPr>
        <w:t>R1-2301447</w:t>
      </w:r>
    </w:p>
    <w:p w:rsidR="00737633" w:rsidRDefault="00326533">
      <w:pPr>
        <w:pStyle w:val="a8"/>
        <w:tabs>
          <w:tab w:val="clear" w:pos="8306"/>
          <w:tab w:val="right" w:pos="9639"/>
        </w:tabs>
        <w:spacing w:after="0"/>
        <w:rPr>
          <w:rFonts w:ascii="Arial" w:hAnsi="Arial" w:cs="Arial"/>
          <w:b/>
          <w:bCs/>
          <w:sz w:val="22"/>
        </w:rPr>
      </w:pPr>
      <w:r w:rsidRPr="00326533">
        <w:rPr>
          <w:rFonts w:ascii="Arial" w:hAnsi="Arial" w:cs="Arial"/>
          <w:b/>
          <w:bCs/>
          <w:sz w:val="22"/>
        </w:rPr>
        <w:t>Athens, Greece, February 27</w:t>
      </w:r>
      <w:r w:rsidRPr="00326533">
        <w:rPr>
          <w:rFonts w:ascii="Arial" w:hAnsi="Arial" w:cs="Arial"/>
          <w:b/>
          <w:bCs/>
          <w:sz w:val="22"/>
          <w:vertAlign w:val="superscript"/>
        </w:rPr>
        <w:t>th</w:t>
      </w:r>
      <w:r w:rsidRPr="00326533">
        <w:rPr>
          <w:rFonts w:ascii="Arial" w:hAnsi="Arial" w:cs="Arial"/>
          <w:b/>
          <w:bCs/>
          <w:sz w:val="22"/>
        </w:rPr>
        <w:t xml:space="preserve"> – March 3</w:t>
      </w:r>
      <w:r w:rsidRPr="00326533">
        <w:rPr>
          <w:rFonts w:ascii="Arial" w:hAnsi="Arial" w:cs="Arial"/>
          <w:b/>
          <w:bCs/>
          <w:sz w:val="22"/>
          <w:vertAlign w:val="superscript"/>
        </w:rPr>
        <w:t>rd</w:t>
      </w:r>
      <w:r w:rsidRPr="00326533">
        <w:rPr>
          <w:rFonts w:ascii="Arial" w:hAnsi="Arial" w:cs="Arial"/>
          <w:b/>
          <w:bCs/>
          <w:sz w:val="22"/>
        </w:rPr>
        <w:t>, 2023</w:t>
      </w:r>
    </w:p>
    <w:p w:rsidR="00737633" w:rsidRDefault="00737633">
      <w:pPr>
        <w:rPr>
          <w:rFonts w:ascii="Arial" w:hAnsi="Arial" w:cs="Arial"/>
        </w:rPr>
      </w:pPr>
    </w:p>
    <w:p w:rsidR="00737633" w:rsidRDefault="004B0D86">
      <w:pPr>
        <w:spacing w:after="60"/>
        <w:ind w:left="1985" w:hanging="1985"/>
        <w:rPr>
          <w:rFonts w:ascii="Arial" w:hAnsi="Arial" w:cs="Arial"/>
          <w:bCs/>
        </w:rPr>
      </w:pPr>
      <w:r>
        <w:rPr>
          <w:rFonts w:ascii="Arial" w:hAnsi="Arial" w:cs="Arial"/>
          <w:b/>
        </w:rPr>
        <w:t>Source:</w:t>
      </w:r>
      <w:r>
        <w:rPr>
          <w:rFonts w:ascii="Arial" w:hAnsi="Arial" w:cs="Arial"/>
          <w:b/>
        </w:rPr>
        <w:tab/>
        <w:t>ZTE</w:t>
      </w:r>
    </w:p>
    <w:p w:rsidR="00737633" w:rsidRPr="004840D6" w:rsidRDefault="004B0D86">
      <w:pPr>
        <w:spacing w:after="60"/>
        <w:ind w:left="1985" w:hanging="1985"/>
        <w:rPr>
          <w:rFonts w:ascii="Arial" w:hAnsi="Arial" w:cs="Arial"/>
          <w:bCs/>
        </w:rPr>
      </w:pPr>
      <w:r>
        <w:rPr>
          <w:rFonts w:ascii="Arial" w:hAnsi="Arial" w:cs="Arial"/>
          <w:b/>
        </w:rPr>
        <w:t>Title:</w:t>
      </w:r>
      <w:r>
        <w:rPr>
          <w:rFonts w:ascii="Arial" w:hAnsi="Arial" w:cs="Arial"/>
          <w:b/>
        </w:rPr>
        <w:tab/>
      </w:r>
      <w:r w:rsidR="004840D6">
        <w:rPr>
          <w:rFonts w:ascii="Arial" w:hAnsi="Arial" w:cs="Arial"/>
          <w:b/>
        </w:rPr>
        <w:t>Discussion on SPS configuration for MBS</w:t>
      </w:r>
    </w:p>
    <w:p w:rsidR="00737633" w:rsidRDefault="004B0D86">
      <w:pPr>
        <w:spacing w:after="60"/>
        <w:ind w:left="1985" w:hanging="1985"/>
        <w:rPr>
          <w:rFonts w:ascii="Arial" w:hAnsi="Arial" w:cs="Arial"/>
          <w:bCs/>
        </w:rPr>
      </w:pPr>
      <w:r>
        <w:rPr>
          <w:rFonts w:ascii="Arial" w:hAnsi="Arial" w:cs="Arial"/>
          <w:b/>
        </w:rPr>
        <w:t>Agenda item:</w:t>
      </w:r>
      <w:r>
        <w:rPr>
          <w:rFonts w:ascii="Arial" w:hAnsi="Arial" w:cs="Arial"/>
          <w:b/>
        </w:rPr>
        <w:tab/>
      </w:r>
      <w:r w:rsidR="00C4124B">
        <w:rPr>
          <w:rFonts w:ascii="Arial" w:hAnsi="Arial" w:cs="Arial"/>
          <w:b/>
        </w:rPr>
        <w:t>5</w:t>
      </w:r>
      <w:bookmarkStart w:id="0" w:name="_GoBack"/>
      <w:bookmarkEnd w:id="0"/>
    </w:p>
    <w:p w:rsidR="00737633" w:rsidRDefault="004B0D86">
      <w:pPr>
        <w:spacing w:after="60"/>
        <w:ind w:left="1985" w:hanging="1985"/>
        <w:rPr>
          <w:rFonts w:ascii="Arial" w:hAnsi="Arial" w:cs="Arial"/>
          <w:bCs/>
        </w:rPr>
      </w:pPr>
      <w:r>
        <w:rPr>
          <w:rFonts w:ascii="Arial" w:hAnsi="Arial" w:cs="Arial"/>
          <w:b/>
        </w:rPr>
        <w:t>Document for:</w:t>
      </w:r>
      <w:r>
        <w:rPr>
          <w:rFonts w:ascii="Arial" w:hAnsi="Arial" w:cs="Arial"/>
          <w:bCs/>
        </w:rPr>
        <w:tab/>
      </w:r>
      <w:r w:rsidRPr="00242E32">
        <w:rPr>
          <w:rFonts w:ascii="Arial" w:hAnsi="Arial" w:cs="Arial"/>
          <w:b/>
          <w:bCs/>
        </w:rPr>
        <w:t>Discussion and Decision</w:t>
      </w:r>
    </w:p>
    <w:p w:rsidR="00737633" w:rsidRDefault="004B0D86">
      <w:pPr>
        <w:pStyle w:val="1"/>
        <w:pBdr>
          <w:top w:val="single" w:sz="12" w:space="0" w:color="auto"/>
        </w:pBdr>
      </w:pPr>
      <w:r>
        <w:t>Introduction</w:t>
      </w:r>
    </w:p>
    <w:p w:rsidR="00427435" w:rsidRDefault="00427435">
      <w:r>
        <w:t>In the LS</w:t>
      </w:r>
      <w:r w:rsidR="00AC7215">
        <w:t xml:space="preserve"> </w:t>
      </w:r>
      <w:r w:rsidR="002B24DC">
        <w:t>[1]</w:t>
      </w:r>
      <w:r>
        <w:t xml:space="preserve">, the following two questions are </w:t>
      </w:r>
      <w:r w:rsidR="007A5B19">
        <w:t>asked by RAN2.</w:t>
      </w:r>
    </w:p>
    <w:tbl>
      <w:tblPr>
        <w:tblStyle w:val="af0"/>
        <w:tblW w:w="0" w:type="auto"/>
        <w:tblLook w:val="04A0" w:firstRow="1" w:lastRow="0" w:firstColumn="1" w:lastColumn="0" w:noHBand="0" w:noVBand="1"/>
      </w:tblPr>
      <w:tblGrid>
        <w:gridCol w:w="9629"/>
      </w:tblGrid>
      <w:tr w:rsidR="00427435" w:rsidTr="00427435">
        <w:tc>
          <w:tcPr>
            <w:tcW w:w="9629" w:type="dxa"/>
          </w:tcPr>
          <w:p w:rsidR="007A5B19" w:rsidRDefault="007A5B19" w:rsidP="007A5B19">
            <w:r>
              <w:rPr>
                <w:b/>
              </w:rPr>
              <w:t>Q1:</w:t>
            </w:r>
            <w:r>
              <w:t xml:space="preserve"> RAN2 would like to ask RAN1’s view on whether similar restriction is required when configuring SPS for both unicast and multicast in one BWP, i.e., network cannot use </w:t>
            </w:r>
            <w:r>
              <w:rPr>
                <w:i/>
              </w:rPr>
              <w:t>sps-Config</w:t>
            </w:r>
            <w:r>
              <w:t xml:space="preserve"> to configure unicast SPS and simultaneously use </w:t>
            </w:r>
            <w:r>
              <w:rPr>
                <w:i/>
              </w:rPr>
              <w:t>sps-ConfigMulticastToAddModList-r17</w:t>
            </w:r>
            <w:r>
              <w:t xml:space="preserve"> to configure multicast in one BWP. </w:t>
            </w:r>
          </w:p>
          <w:p w:rsidR="00427435" w:rsidRDefault="007A5B19" w:rsidP="007A5B19">
            <w:r>
              <w:rPr>
                <w:rFonts w:eastAsia="等线"/>
                <w:b/>
              </w:rPr>
              <w:t>Q2:</w:t>
            </w:r>
            <w:r>
              <w:rPr>
                <w:rFonts w:eastAsia="等线"/>
              </w:rPr>
              <w:t xml:space="preserve"> An</w:t>
            </w:r>
            <w:r>
              <w:rPr>
                <w:rFonts w:eastAsia="等线" w:hint="eastAsia"/>
              </w:rPr>
              <w:t xml:space="preserve">other question RAN2 </w:t>
            </w:r>
            <w:r>
              <w:rPr>
                <w:rFonts w:eastAsia="等线"/>
              </w:rPr>
              <w:t xml:space="preserve">would like to ask RAN1 </w:t>
            </w:r>
            <w:r>
              <w:rPr>
                <w:rFonts w:eastAsia="等线" w:hint="eastAsia"/>
              </w:rPr>
              <w:t xml:space="preserve">is that </w:t>
            </w:r>
            <w:r>
              <w:t xml:space="preserve">when a single multicast SPS is configured for a group of UEs and there is no SPS configuration for unicast for at least one UE in the group, whether </w:t>
            </w:r>
            <w:r>
              <w:rPr>
                <w:i/>
              </w:rPr>
              <w:t>sps-ConfigIndex</w:t>
            </w:r>
            <w:r>
              <w:t xml:space="preserve"> other than 0 can be configured by network for the single multicast SPS.</w:t>
            </w:r>
          </w:p>
        </w:tc>
      </w:tr>
    </w:tbl>
    <w:p w:rsidR="00737633" w:rsidRDefault="004B0D86" w:rsidP="00427435">
      <w:pPr>
        <w:spacing w:beforeLines="50" w:before="120"/>
      </w:pPr>
      <w:r>
        <w:t xml:space="preserve"> </w:t>
      </w:r>
      <w:r w:rsidR="00427435">
        <w:t>In this contribution, our analysis and views are provided.</w:t>
      </w:r>
    </w:p>
    <w:p w:rsidR="00737633" w:rsidRDefault="004B0D86">
      <w:pPr>
        <w:pStyle w:val="1"/>
      </w:pPr>
      <w:r>
        <w:t>Discussion</w:t>
      </w:r>
    </w:p>
    <w:p w:rsidR="0006683B" w:rsidRDefault="0006683B" w:rsidP="0006683B">
      <w:r>
        <w:rPr>
          <w:rFonts w:hint="eastAsia"/>
        </w:rPr>
        <w:t>C</w:t>
      </w:r>
      <w:r>
        <w:t xml:space="preserve">urrently, the network can configure one or more SPS PDSCHs for unicast for the UE. Two higher layer parameters can be used for such configuration, i.e., </w:t>
      </w:r>
      <w:r w:rsidR="00267E24" w:rsidRPr="00267E24">
        <w:rPr>
          <w:i/>
        </w:rPr>
        <w:t>sps-Config</w:t>
      </w:r>
      <w:r w:rsidRPr="00A9439A">
        <w:t xml:space="preserve"> </w:t>
      </w:r>
      <w:r>
        <w:t xml:space="preserve">and </w:t>
      </w:r>
      <w:r w:rsidR="00267E24" w:rsidRPr="00267E24">
        <w:rPr>
          <w:i/>
        </w:rPr>
        <w:t>sps-ConfigToAddModList-r16</w:t>
      </w:r>
      <w:r>
        <w:t xml:space="preserve">. The higher layer </w:t>
      </w:r>
      <w:r w:rsidR="007A3B88">
        <w:rPr>
          <w:i/>
        </w:rPr>
        <w:t>sps-Config</w:t>
      </w:r>
      <w:r>
        <w:t xml:space="preserve"> can configure </w:t>
      </w:r>
      <w:r>
        <w:rPr>
          <w:lang w:val="en-US"/>
        </w:rPr>
        <w:t xml:space="preserve">only </w:t>
      </w:r>
      <w:r>
        <w:t xml:space="preserve">one SPS PDSCH configuration while the higher layer parameter </w:t>
      </w:r>
      <w:r w:rsidR="007A3B88" w:rsidRPr="00267E24">
        <w:rPr>
          <w:i/>
        </w:rPr>
        <w:t>sps-ConfigToAddModList-r1</w:t>
      </w:r>
      <w:r w:rsidRPr="00A9439A">
        <w:rPr>
          <w:i/>
        </w:rPr>
        <w:t>6</w:t>
      </w:r>
      <w:r>
        <w:t xml:space="preserve"> can configure one or more SPS PDSCH configurations. When more than one SPS PDSCH configuration are configured for the UE, the SPS index should be configured to identify the SPS configuration when activated or de-activated as shown below</w:t>
      </w:r>
      <w:r w:rsidR="007A3B88">
        <w:t xml:space="preserve"> [2]</w:t>
      </w:r>
      <w:r>
        <w:t>.</w:t>
      </w:r>
    </w:p>
    <w:tbl>
      <w:tblPr>
        <w:tblStyle w:val="af0"/>
        <w:tblW w:w="0" w:type="auto"/>
        <w:tblLook w:val="04A0" w:firstRow="1" w:lastRow="0" w:firstColumn="1" w:lastColumn="0" w:noHBand="0" w:noVBand="1"/>
      </w:tblPr>
      <w:tblGrid>
        <w:gridCol w:w="9629"/>
      </w:tblGrid>
      <w:tr w:rsidR="00F70022" w:rsidTr="00F70022">
        <w:tc>
          <w:tcPr>
            <w:tcW w:w="9629" w:type="dxa"/>
          </w:tcPr>
          <w:p w:rsidR="00F70022" w:rsidRPr="001B7540" w:rsidRDefault="00F70022" w:rsidP="00F70022">
            <w:r w:rsidRPr="001B7540">
              <w:rPr>
                <w:rFonts w:eastAsia="等线"/>
                <w:lang w:eastAsia="zh-CN"/>
              </w:rPr>
              <w:t xml:space="preserve">If a UE is </w:t>
            </w:r>
            <w:r w:rsidRPr="001B7540">
              <w:rPr>
                <w:rFonts w:eastAsia="等线"/>
                <w:lang w:val="en-US" w:eastAsia="zh-CN"/>
              </w:rPr>
              <w:t xml:space="preserve">provided more than one configuration for UL grant Type 2 PUSCH or for </w:t>
            </w:r>
            <w:r w:rsidRPr="001B7540">
              <w:rPr>
                <w:rFonts w:eastAsia="等线"/>
                <w:lang w:eastAsia="zh-CN"/>
              </w:rPr>
              <w:t>SPS</w:t>
            </w:r>
            <w:r w:rsidRPr="001B7540">
              <w:rPr>
                <w:rFonts w:eastAsia="等线"/>
                <w:lang w:val="en-US" w:eastAsia="zh-CN"/>
              </w:rPr>
              <w:t xml:space="preserve"> PDSCH, 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an activation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w:t>
            </w:r>
            <w:r w:rsidRPr="001B7540">
              <w:rPr>
                <w:rFonts w:eastAsia="等线"/>
                <w:lang w:eastAsia="zh-CN"/>
              </w:rPr>
              <w:t xml:space="preserve"> </w:t>
            </w:r>
            <w:r w:rsidRPr="001B7540">
              <w:rPr>
                <w:rFonts w:eastAsia="等线"/>
                <w:lang w:val="en-US" w:eastAsia="zh-CN"/>
              </w:rPr>
              <w:t xml:space="preserve">with a same value as provided by </w:t>
            </w:r>
            <w:r>
              <w:rPr>
                <w:rFonts w:eastAsia="等线"/>
                <w:i/>
                <w:lang w:val="en-US" w:eastAsia="zh-CN"/>
              </w:rPr>
              <w:t>ConfiguredGrantConfigIndex</w:t>
            </w:r>
            <w:r>
              <w:rPr>
                <w:rFonts w:eastAsia="等线"/>
                <w:lang w:val="en-US" w:eastAsia="zh-CN"/>
              </w:rPr>
              <w:t xml:space="preserve"> or by </w:t>
            </w:r>
            <w:r>
              <w:rPr>
                <w:i/>
                <w:iCs/>
              </w:rPr>
              <w:t>sps-ConfigIndex</w:t>
            </w:r>
            <w:r w:rsidRPr="001B7540">
              <w:rPr>
                <w:rFonts w:eastAsia="等线"/>
                <w:lang w:val="en-US" w:eastAsia="zh-CN"/>
              </w:rPr>
              <w:t xml:space="preserve">, respectively. </w:t>
            </w:r>
            <w:r w:rsidRPr="001B7540">
              <w:rPr>
                <w:rFonts w:eastAsia="等线"/>
                <w:lang w:eastAsia="zh-CN"/>
              </w:rPr>
              <w:t>Validation of the DCI format is achieved if the RV field for the DCI format is set as in Table 10.2-</w:t>
            </w:r>
            <w:r w:rsidRPr="001B7540">
              <w:rPr>
                <w:rFonts w:eastAsia="等线"/>
                <w:lang w:val="en-US" w:eastAsia="zh-CN"/>
              </w:rPr>
              <w:t>3</w:t>
            </w:r>
            <w:r w:rsidRPr="001B7540">
              <w:rPr>
                <w:rFonts w:eastAsia="等线"/>
                <w:lang w:eastAsia="zh-CN"/>
              </w:rPr>
              <w:t xml:space="preserve">. </w:t>
            </w:r>
          </w:p>
          <w:p w:rsidR="00F70022" w:rsidRPr="001B7540" w:rsidRDefault="00F70022" w:rsidP="00F70022">
            <w:pPr>
              <w:rPr>
                <w:rFonts w:eastAsia="等线"/>
                <w:lang w:eastAsia="zh-CN"/>
              </w:rPr>
            </w:pPr>
            <w:r w:rsidRPr="001B7540">
              <w:rPr>
                <w:rFonts w:eastAsia="等线"/>
                <w:lang w:eastAsia="zh-CN"/>
              </w:rPr>
              <w:t xml:space="preserve">If a UE is </w:t>
            </w:r>
            <w:r w:rsidRPr="001B7540">
              <w:rPr>
                <w:rFonts w:eastAsia="等线"/>
                <w:lang w:val="en-US" w:eastAsia="zh-CN"/>
              </w:rPr>
              <w:t xml:space="preserve">provided more than one configuration for UL grant Type 2 PUSCH or for </w:t>
            </w:r>
            <w:r w:rsidRPr="001B7540">
              <w:rPr>
                <w:rFonts w:eastAsia="等线"/>
                <w:lang w:eastAsia="zh-CN"/>
              </w:rPr>
              <w:t>SPS</w:t>
            </w:r>
            <w:r w:rsidRPr="001B7540">
              <w:rPr>
                <w:rFonts w:eastAsia="等线"/>
                <w:lang w:val="en-US" w:eastAsia="zh-CN"/>
              </w:rPr>
              <w:t xml:space="preserve"> PDSCH</w:t>
            </w:r>
            <w:r w:rsidRPr="001B7540">
              <w:rPr>
                <w:rFonts w:eastAsia="等线"/>
                <w:lang w:eastAsia="zh-CN"/>
              </w:rPr>
              <w:t xml:space="preserve"> </w:t>
            </w:r>
          </w:p>
          <w:p w:rsidR="00F70022" w:rsidRPr="001B7540" w:rsidRDefault="00F70022" w:rsidP="00F70022">
            <w:pPr>
              <w:pStyle w:val="B1"/>
              <w:rPr>
                <w:rFonts w:eastAsia="等线"/>
                <w:lang w:val="en-US" w:eastAsia="zh-CN"/>
              </w:rPr>
            </w:pPr>
            <w:r w:rsidRPr="001B7540">
              <w:t>-</w:t>
            </w:r>
            <w:r w:rsidRPr="001B7540">
              <w:tab/>
            </w:r>
            <w:r w:rsidRPr="001B7540">
              <w:rPr>
                <w:rFonts w:eastAsia="等线"/>
                <w:lang w:val="en-US" w:eastAsia="zh-CN"/>
              </w:rPr>
              <w:t xml:space="preserve">if the UE is </w:t>
            </w:r>
            <w:r w:rsidRPr="001B7540">
              <w:rPr>
                <w:rFonts w:eastAsia="等线"/>
                <w:lang w:eastAsia="zh-CN"/>
              </w:rPr>
              <w:t xml:space="preserve">provided </w:t>
            </w:r>
            <w:r w:rsidRPr="00081E14">
              <w:rPr>
                <w:rFonts w:eastAsia="等线"/>
                <w:i/>
                <w:lang w:eastAsia="zh-CN"/>
              </w:rPr>
              <w:t>ConfiguredGrantConfigType2DeactivationStateList</w:t>
            </w:r>
            <w:r w:rsidRPr="001B7540">
              <w:rPr>
                <w:rFonts w:eastAsia="等线"/>
                <w:lang w:eastAsia="zh-CN"/>
              </w:rPr>
              <w:t xml:space="preserve"> or </w:t>
            </w:r>
            <w:r w:rsidRPr="00FD0320">
              <w:rPr>
                <w:rFonts w:eastAsia="等线"/>
                <w:i/>
                <w:lang w:eastAsia="zh-CN"/>
              </w:rPr>
              <w:t>sps-ConfigDeactivationStateList</w:t>
            </w:r>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a corresponding entry </w:t>
            </w:r>
            <w:r w:rsidRPr="001B7540">
              <w:rPr>
                <w:rFonts w:eastAsia="等线"/>
                <w:lang w:val="en-US" w:eastAsia="zh-CN"/>
              </w:rPr>
              <w:t xml:space="preserve">for scheduling release of one or more UL grant Type 2 PUSCH or </w:t>
            </w:r>
            <w:r w:rsidRPr="001B7540">
              <w:rPr>
                <w:rFonts w:eastAsia="等线"/>
                <w:lang w:eastAsia="zh-CN"/>
              </w:rPr>
              <w:t>SPS</w:t>
            </w:r>
            <w:r w:rsidRPr="001B7540">
              <w:rPr>
                <w:rFonts w:eastAsia="等线"/>
                <w:lang w:val="en-US" w:eastAsia="zh-CN"/>
              </w:rPr>
              <w:t xml:space="preserve"> PDSCH configurations</w:t>
            </w:r>
          </w:p>
          <w:p w:rsidR="00F70022" w:rsidRPr="001B7540" w:rsidRDefault="00F70022" w:rsidP="00F70022">
            <w:pPr>
              <w:pStyle w:val="B1"/>
              <w:rPr>
                <w:rFonts w:eastAsia="等线"/>
                <w:lang w:val="en-US" w:eastAsia="zh-CN"/>
              </w:rPr>
            </w:pPr>
            <w:r w:rsidRPr="001B7540">
              <w:t>-</w:t>
            </w:r>
            <w:r w:rsidRPr="001B7540">
              <w:tab/>
            </w:r>
            <w:r w:rsidRPr="001B7540">
              <w:rPr>
                <w:rFonts w:eastAsia="等线"/>
                <w:lang w:val="en-US" w:eastAsia="zh-CN"/>
              </w:rPr>
              <w:t xml:space="preserve">if the UE is not </w:t>
            </w:r>
            <w:r w:rsidRPr="001B7540">
              <w:rPr>
                <w:rFonts w:eastAsia="等线"/>
                <w:lang w:eastAsia="zh-CN"/>
              </w:rPr>
              <w:t xml:space="preserve">provided </w:t>
            </w:r>
            <w:r w:rsidRPr="00081E14">
              <w:rPr>
                <w:rFonts w:eastAsia="等线"/>
                <w:i/>
                <w:lang w:eastAsia="zh-CN"/>
              </w:rPr>
              <w:t>ConfiguredGrantConfigType2DeactivationStateList</w:t>
            </w:r>
            <w:r w:rsidRPr="001B7540">
              <w:rPr>
                <w:rFonts w:eastAsia="等线"/>
                <w:lang w:eastAsia="zh-CN"/>
              </w:rPr>
              <w:t xml:space="preserve"> or </w:t>
            </w:r>
            <w:r w:rsidRPr="002712D0">
              <w:rPr>
                <w:rFonts w:eastAsia="等线"/>
                <w:i/>
                <w:lang w:eastAsia="zh-CN"/>
              </w:rPr>
              <w:t>sps-ConfigDeactivationStateList</w:t>
            </w:r>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 release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 </w:t>
            </w:r>
            <w:r w:rsidRPr="001B7540">
              <w:rPr>
                <w:lang w:eastAsia="zh-CN"/>
              </w:rPr>
              <w:t xml:space="preserve">with a same value as provided by </w:t>
            </w:r>
            <w:r>
              <w:rPr>
                <w:rFonts w:eastAsia="等线"/>
                <w:i/>
                <w:lang w:val="en-US" w:eastAsia="zh-CN"/>
              </w:rPr>
              <w:t>ConfiguredGrantConfigIndex</w:t>
            </w:r>
            <w:r>
              <w:rPr>
                <w:rFonts w:eastAsia="等线"/>
                <w:lang w:val="en-US" w:eastAsia="zh-CN"/>
              </w:rPr>
              <w:t xml:space="preserve"> or by </w:t>
            </w:r>
            <w:r>
              <w:rPr>
                <w:i/>
                <w:iCs/>
              </w:rPr>
              <w:t>sps-ConfigIndex</w:t>
            </w:r>
            <w:r w:rsidRPr="001B7540">
              <w:rPr>
                <w:lang w:eastAsia="zh-CN"/>
              </w:rPr>
              <w:t>, respectively</w:t>
            </w:r>
          </w:p>
          <w:p w:rsidR="00F70022" w:rsidRPr="00F70022" w:rsidRDefault="00F70022" w:rsidP="00F70022">
            <w:r w:rsidRPr="001B7540">
              <w:rPr>
                <w:rFonts w:eastAsia="等线"/>
                <w:lang w:eastAsia="zh-CN"/>
              </w:rPr>
              <w:t>Validation of the DCI format is achieved if all fields for the DCI format are set according to Table 10.2-</w:t>
            </w:r>
            <w:r w:rsidRPr="001B7540">
              <w:rPr>
                <w:rFonts w:eastAsia="等线"/>
                <w:lang w:val="en-US" w:eastAsia="zh-CN"/>
              </w:rPr>
              <w:t>4</w:t>
            </w:r>
            <w:r w:rsidRPr="001B7540">
              <w:rPr>
                <w:rFonts w:eastAsia="等线"/>
                <w:lang w:eastAsia="zh-CN"/>
              </w:rPr>
              <w:t xml:space="preserve">. </w:t>
            </w:r>
          </w:p>
        </w:tc>
      </w:tr>
    </w:tbl>
    <w:p w:rsidR="00F70022" w:rsidRDefault="00616C88" w:rsidP="00F81823">
      <w:pPr>
        <w:spacing w:beforeLines="50" w:before="120"/>
      </w:pPr>
      <w:r>
        <w:rPr>
          <w:rFonts w:hint="eastAsia"/>
        </w:rPr>
        <w:t>H</w:t>
      </w:r>
      <w:r>
        <w:t xml:space="preserve">owever, </w:t>
      </w:r>
      <w:r w:rsidR="00331F86">
        <w:t xml:space="preserve">the SPS index cannot </w:t>
      </w:r>
      <w:r w:rsidR="00331F86">
        <w:rPr>
          <w:lang w:val="en-US"/>
        </w:rPr>
        <w:t xml:space="preserve">be </w:t>
      </w:r>
      <w:r w:rsidR="00331F86">
        <w:t xml:space="preserve">configured when using </w:t>
      </w:r>
      <w:r w:rsidR="007A3B88">
        <w:rPr>
          <w:i/>
        </w:rPr>
        <w:t>sps-Config</w:t>
      </w:r>
      <w:r w:rsidR="00331F86">
        <w:t xml:space="preserve"> to configure SPS PDSCH</w:t>
      </w:r>
      <w:r w:rsidR="008771F9">
        <w:t xml:space="preserve"> </w:t>
      </w:r>
      <w:r w:rsidR="00EA0D09">
        <w:rPr>
          <w:lang w:val="en-US" w:eastAsia="zh-CN"/>
        </w:rPr>
        <w:t>as shown below</w:t>
      </w:r>
      <w:r w:rsidR="008771F9">
        <w:t>[3]</w:t>
      </w:r>
      <w:r w:rsidR="00331F86">
        <w:t xml:space="preserve">. </w:t>
      </w:r>
      <w:r w:rsidR="00775698">
        <w:t>It means that</w:t>
      </w:r>
      <w:r w:rsidR="00331F86">
        <w:t xml:space="preserve"> the network </w:t>
      </w:r>
      <w:r w:rsidR="00775698">
        <w:t xml:space="preserve">cannot use </w:t>
      </w:r>
      <w:r w:rsidR="007A3B88">
        <w:rPr>
          <w:i/>
        </w:rPr>
        <w:t>sps-Config</w:t>
      </w:r>
      <w:r w:rsidR="00775698">
        <w:t xml:space="preserve"> to configure SPS PDSCH for unicast and use </w:t>
      </w:r>
      <w:r w:rsidR="00775698">
        <w:rPr>
          <w:i/>
        </w:rPr>
        <w:t>sps-ConfigMulticastToAddModList-r17</w:t>
      </w:r>
      <w:r w:rsidR="00775698">
        <w:t xml:space="preserve"> to configure SPS for multicast in one BWP simultaneously.</w:t>
      </w:r>
    </w:p>
    <w:tbl>
      <w:tblPr>
        <w:tblW w:w="9606" w:type="dxa"/>
        <w:tblLook w:val="04A0" w:firstRow="1" w:lastRow="0" w:firstColumn="1" w:lastColumn="0" w:noHBand="0" w:noVBand="1"/>
      </w:tblPr>
      <w:tblGrid>
        <w:gridCol w:w="3256"/>
        <w:gridCol w:w="6350"/>
      </w:tblGrid>
      <w:tr w:rsidR="006833E2" w:rsidTr="006833E2">
        <w:tc>
          <w:tcPr>
            <w:tcW w:w="3256" w:type="dxa"/>
            <w:tcBorders>
              <w:top w:val="single" w:sz="4" w:space="0" w:color="auto"/>
              <w:left w:val="single" w:sz="4" w:space="0" w:color="auto"/>
              <w:bottom w:val="single" w:sz="4" w:space="0" w:color="auto"/>
              <w:right w:val="single" w:sz="4" w:space="0" w:color="auto"/>
            </w:tcBorders>
            <w:hideMark/>
          </w:tcPr>
          <w:p w:rsidR="006833E2" w:rsidRDefault="006833E2">
            <w:pPr>
              <w:pStyle w:val="TAH"/>
            </w:pPr>
            <w:r>
              <w:t>Conditional Presence</w:t>
            </w:r>
          </w:p>
        </w:tc>
        <w:tc>
          <w:tcPr>
            <w:tcW w:w="6350" w:type="dxa"/>
            <w:tcBorders>
              <w:top w:val="single" w:sz="4" w:space="0" w:color="auto"/>
              <w:left w:val="nil"/>
              <w:bottom w:val="single" w:sz="4" w:space="0" w:color="auto"/>
              <w:right w:val="single" w:sz="4" w:space="0" w:color="auto"/>
            </w:tcBorders>
            <w:hideMark/>
          </w:tcPr>
          <w:p w:rsidR="006833E2" w:rsidRDefault="006833E2">
            <w:pPr>
              <w:pStyle w:val="TAH"/>
            </w:pPr>
            <w:r>
              <w:t>Explanation</w:t>
            </w:r>
          </w:p>
        </w:tc>
      </w:tr>
      <w:tr w:rsidR="006833E2" w:rsidTr="006833E2">
        <w:tc>
          <w:tcPr>
            <w:tcW w:w="3256" w:type="dxa"/>
            <w:tcBorders>
              <w:top w:val="single" w:sz="4" w:space="0" w:color="auto"/>
              <w:left w:val="single" w:sz="4" w:space="0" w:color="auto"/>
              <w:bottom w:val="single" w:sz="4" w:space="0" w:color="auto"/>
              <w:right w:val="single" w:sz="4" w:space="0" w:color="auto"/>
            </w:tcBorders>
            <w:hideMark/>
          </w:tcPr>
          <w:p w:rsidR="006833E2" w:rsidRDefault="006833E2">
            <w:pPr>
              <w:pStyle w:val="TAL"/>
              <w:rPr>
                <w:i/>
              </w:rPr>
            </w:pPr>
            <w:r>
              <w:rPr>
                <w:i/>
              </w:rPr>
              <w:t>SPS-List</w:t>
            </w:r>
          </w:p>
        </w:tc>
        <w:tc>
          <w:tcPr>
            <w:tcW w:w="6350" w:type="dxa"/>
            <w:tcBorders>
              <w:top w:val="single" w:sz="4" w:space="0" w:color="auto"/>
              <w:left w:val="nil"/>
              <w:bottom w:val="single" w:sz="4" w:space="0" w:color="auto"/>
              <w:right w:val="single" w:sz="4" w:space="0" w:color="auto"/>
            </w:tcBorders>
            <w:hideMark/>
          </w:tcPr>
          <w:p w:rsidR="006833E2" w:rsidRDefault="006833E2">
            <w:pPr>
              <w:pStyle w:val="TAL"/>
            </w:pPr>
            <w:r>
              <w:t xml:space="preserve">The field is mandatory present when included in </w:t>
            </w:r>
            <w:r>
              <w:rPr>
                <w:i/>
                <w:iCs/>
              </w:rPr>
              <w:t>sps-ConfigToAddModList-r16</w:t>
            </w:r>
            <w:r>
              <w:rPr>
                <w:b/>
                <w:iCs/>
                <w:color w:val="0000FF"/>
                <w:kern w:val="2"/>
              </w:rPr>
              <w:t xml:space="preserve"> </w:t>
            </w:r>
            <w:r>
              <w:rPr>
                <w:iCs/>
                <w:color w:val="000000"/>
                <w:kern w:val="2"/>
              </w:rPr>
              <w:t xml:space="preserve">or </w:t>
            </w:r>
            <w:r>
              <w:rPr>
                <w:i/>
                <w:iCs/>
                <w:color w:val="000000"/>
                <w:kern w:val="2"/>
              </w:rPr>
              <w:t>sps-ConfigMulticastToAddModList-r17</w:t>
            </w:r>
            <w:r>
              <w:t>, otherwise the field is absent.</w:t>
            </w:r>
          </w:p>
        </w:tc>
      </w:tr>
    </w:tbl>
    <w:p w:rsidR="00775698" w:rsidRPr="00B63FEA" w:rsidRDefault="00775698" w:rsidP="006833E2">
      <w:pPr>
        <w:spacing w:beforeLines="50" w:before="120"/>
        <w:rPr>
          <w:i/>
        </w:rPr>
      </w:pPr>
      <w:r w:rsidRPr="00B63FEA">
        <w:rPr>
          <w:b/>
          <w:i/>
        </w:rPr>
        <w:t>Proposal 1:</w:t>
      </w:r>
      <w:r w:rsidRPr="00B63FEA">
        <w:rPr>
          <w:i/>
        </w:rPr>
        <w:t xml:space="preserve"> The restriction should be required when configuring SPS for both unicast and multicast in one BWP, i.e., </w:t>
      </w:r>
      <w:r w:rsidR="00B63FEA" w:rsidRPr="00B63FEA">
        <w:rPr>
          <w:i/>
        </w:rPr>
        <w:t xml:space="preserve">the network cannot </w:t>
      </w:r>
      <w:r w:rsidR="00B63FEA">
        <w:rPr>
          <w:i/>
        </w:rPr>
        <w:t xml:space="preserve">use </w:t>
      </w:r>
      <w:r w:rsidR="007A3B88">
        <w:rPr>
          <w:i/>
        </w:rPr>
        <w:t>sps-Config</w:t>
      </w:r>
      <w:r w:rsidR="00B63FEA" w:rsidRPr="00B63FEA">
        <w:rPr>
          <w:i/>
        </w:rPr>
        <w:t xml:space="preserve"> to configure SPS PDSCH for unicast and use sps-ConfigMulticastToAddModList-r17 to configure SPS for multicast in one BWP simultaneously</w:t>
      </w:r>
      <w:r w:rsidR="00BC3163">
        <w:rPr>
          <w:i/>
        </w:rPr>
        <w:t>.</w:t>
      </w:r>
    </w:p>
    <w:p w:rsidR="0037677B" w:rsidRDefault="00AC7215">
      <w:r>
        <w:rPr>
          <w:rFonts w:hint="eastAsia"/>
        </w:rPr>
        <w:t>F</w:t>
      </w:r>
      <w:r>
        <w:t xml:space="preserve">or SPS for multicast, the same configuration should be configured for a group of UEs. </w:t>
      </w:r>
      <w:r w:rsidR="0037677B">
        <w:t>The scenario is that</w:t>
      </w:r>
      <w:r w:rsidR="003F3295">
        <w:t xml:space="preserve"> a single SPS for multicast is configured for a group of UE</w:t>
      </w:r>
      <w:r w:rsidR="00861714">
        <w:t>,</w:t>
      </w:r>
      <w:r w:rsidR="0037677B">
        <w:t xml:space="preserve"> where</w:t>
      </w:r>
      <w:r w:rsidR="00861714">
        <w:t xml:space="preserve"> a first UE is configured with only SPS for multicast while the second UE is configured with both multicast SPS and unicast SPS. </w:t>
      </w:r>
      <w:r w:rsidR="0037677B">
        <w:t xml:space="preserve">Assume that the SPS index for multicast is not 0. </w:t>
      </w:r>
    </w:p>
    <w:p w:rsidR="00861714" w:rsidRDefault="00C511DE">
      <w:r>
        <w:lastRenderedPageBreak/>
        <w:t>According to</w:t>
      </w:r>
      <w:r w:rsidR="00B63FEA">
        <w:t xml:space="preserve"> the current spec</w:t>
      </w:r>
      <w:r w:rsidR="00F81823">
        <w:rPr>
          <w:lang w:val="en-US" w:eastAsia="zh-CN"/>
        </w:rPr>
        <w:t xml:space="preserve"> [2]</w:t>
      </w:r>
      <w:r w:rsidR="00B63FEA">
        <w:t xml:space="preserve">, when the single SPS PDSCH is configured, the HPN should be set to all ‘0’s for activation DCI and deactivation DCI. </w:t>
      </w:r>
      <w:r w:rsidR="0037677B">
        <w:t xml:space="preserve">Therefore, from the first UE perspective, the HPN field should be set to all ‘0’s. </w:t>
      </w:r>
      <w:r w:rsidR="00861714">
        <w:rPr>
          <w:rFonts w:hint="eastAsia"/>
        </w:rPr>
        <w:t>F</w:t>
      </w:r>
      <w:r w:rsidR="00861714">
        <w:t>or the UE configured with multiple SPS configurations, the HPN should be used to indicate the index of activated or deactivated SPS. That is to say</w:t>
      </w:r>
      <w:r w:rsidR="0037677B">
        <w:t xml:space="preserve">, the HPN field of the activation DCI or deactivation DCI for the multicast SPS should not be set to all ‘0’s from the second UE perspective. </w:t>
      </w:r>
      <w:r>
        <w:t>This leads to the network cannot set a</w:t>
      </w:r>
      <w:r w:rsidR="006833E2">
        <w:t xml:space="preserve"> </w:t>
      </w:r>
      <w:r w:rsidR="006833E2">
        <w:rPr>
          <w:lang w:val="en-US" w:eastAsia="zh-CN"/>
        </w:rPr>
        <w:t>correct</w:t>
      </w:r>
      <w:r>
        <w:t xml:space="preserve"> HPN for both first UE and the second UE due to the divergent requirements. </w:t>
      </w:r>
      <w:r w:rsidR="00861714">
        <w:t xml:space="preserve">To resolve this issue, the network can configure another SPS for unicast for the </w:t>
      </w:r>
      <w:r w:rsidR="0037677B">
        <w:t xml:space="preserve">first </w:t>
      </w:r>
      <w:r w:rsidR="00861714">
        <w:t>UE</w:t>
      </w:r>
      <w:r w:rsidR="0037677B">
        <w:t xml:space="preserve">. </w:t>
      </w:r>
      <w:r>
        <w:t xml:space="preserve">Then the same HPN can be indicated. Therefore, from the RAN1 perspective, the SPS index other </w:t>
      </w:r>
      <w:r w:rsidR="00EB5444">
        <w:t xml:space="preserve">than </w:t>
      </w:r>
      <w:r>
        <w:t>0 can be configured for the single multicast SPS.</w:t>
      </w:r>
    </w:p>
    <w:p w:rsidR="0037677B" w:rsidRPr="00C511DE" w:rsidRDefault="0037677B">
      <w:pPr>
        <w:rPr>
          <w:i/>
        </w:rPr>
      </w:pPr>
      <w:r w:rsidRPr="00C511DE">
        <w:rPr>
          <w:b/>
          <w:i/>
        </w:rPr>
        <w:t xml:space="preserve">Proposal 2: </w:t>
      </w:r>
      <w:r w:rsidR="00C511DE" w:rsidRPr="00C511DE">
        <w:rPr>
          <w:i/>
        </w:rPr>
        <w:t>The SPS index other than 0 can be configured for the single multicast SPS when a single multicast SPS is configured for a group of UEs and there is no SPS configuration for unicast for at least one UE in the group.</w:t>
      </w:r>
    </w:p>
    <w:p w:rsidR="00737633" w:rsidRDefault="004B0D86">
      <w:pPr>
        <w:pStyle w:val="1"/>
      </w:pPr>
      <w:r>
        <w:t>Conclusion</w:t>
      </w:r>
    </w:p>
    <w:p w:rsidR="00737633" w:rsidRDefault="00C511DE" w:rsidP="00C511DE">
      <w:r>
        <w:t>Based on the discussion above, we have the following proposals.</w:t>
      </w:r>
    </w:p>
    <w:p w:rsidR="00C511DE" w:rsidRPr="00B63FEA" w:rsidRDefault="00C511DE" w:rsidP="00C511DE">
      <w:pPr>
        <w:rPr>
          <w:i/>
        </w:rPr>
      </w:pPr>
      <w:r w:rsidRPr="00B63FEA">
        <w:rPr>
          <w:b/>
          <w:i/>
        </w:rPr>
        <w:t>Proposal 1:</w:t>
      </w:r>
      <w:r w:rsidRPr="00B63FEA">
        <w:rPr>
          <w:i/>
        </w:rPr>
        <w:t xml:space="preserve"> The restriction should be required when configuring SPS for both unicast and multicast in one BWP, i.e., the network cannot </w:t>
      </w:r>
      <w:r>
        <w:rPr>
          <w:i/>
        </w:rPr>
        <w:t xml:space="preserve">use </w:t>
      </w:r>
      <w:r w:rsidR="007A3B88">
        <w:rPr>
          <w:i/>
        </w:rPr>
        <w:t>sps-Config</w:t>
      </w:r>
      <w:r w:rsidRPr="00B63FEA">
        <w:rPr>
          <w:i/>
        </w:rPr>
        <w:t xml:space="preserve"> to configure SPS PDSCH for unicast and use sps-ConfigMulticastToAddModList-r17 to configure SPS for multicast in one BWP simultaneously</w:t>
      </w:r>
      <w:r w:rsidR="00BC3163">
        <w:rPr>
          <w:i/>
        </w:rPr>
        <w:t>.</w:t>
      </w:r>
    </w:p>
    <w:p w:rsidR="00C511DE" w:rsidRPr="00C511DE" w:rsidRDefault="00C511DE" w:rsidP="00C511DE">
      <w:pPr>
        <w:rPr>
          <w:i/>
        </w:rPr>
      </w:pPr>
      <w:r w:rsidRPr="00C511DE">
        <w:rPr>
          <w:b/>
          <w:i/>
        </w:rPr>
        <w:t xml:space="preserve">Proposal 2: </w:t>
      </w:r>
      <w:r w:rsidRPr="00C511DE">
        <w:rPr>
          <w:i/>
        </w:rPr>
        <w:t>The SPS index other than 0 can be configured for the single multicast SPS when a single multicast SPS is configured for a group of UEs and there is no SPS configuration for unicast for at least one UE in the group.</w:t>
      </w:r>
    </w:p>
    <w:p w:rsidR="00737633" w:rsidRPr="008A5229" w:rsidRDefault="004B0D86" w:rsidP="008A5229">
      <w:pPr>
        <w:pStyle w:val="1"/>
      </w:pPr>
      <w:r w:rsidRPr="008A5229">
        <w:t>References</w:t>
      </w:r>
    </w:p>
    <w:p w:rsidR="00737633" w:rsidRDefault="004B0D86">
      <w:pPr>
        <w:pStyle w:val="References"/>
      </w:pPr>
      <w:r>
        <w:t>3GPP</w:t>
      </w:r>
      <w:r w:rsidR="00C511DE">
        <w:t xml:space="preserve"> RAN1#112, </w:t>
      </w:r>
      <w:r w:rsidR="00C511DE" w:rsidRPr="00C511DE">
        <w:t>R1-2300015</w:t>
      </w:r>
      <w:r w:rsidR="00C511DE">
        <w:t xml:space="preserve">, </w:t>
      </w:r>
      <w:r w:rsidR="00C511DE" w:rsidRPr="00C511DE">
        <w:t>LS on SPS configuration for unicast and multicast</w:t>
      </w:r>
    </w:p>
    <w:p w:rsidR="00543838" w:rsidRDefault="004B0D86" w:rsidP="00543838">
      <w:pPr>
        <w:pStyle w:val="References"/>
      </w:pPr>
      <w:r>
        <w:t>3GPP</w:t>
      </w:r>
      <w:r w:rsidR="00F81823">
        <w:t xml:space="preserve"> TS38.213-h40, </w:t>
      </w:r>
      <w:r w:rsidR="00F81823" w:rsidRPr="00F81823">
        <w:t>Physical layer procedures for control</w:t>
      </w:r>
    </w:p>
    <w:p w:rsidR="00737633" w:rsidRDefault="00F81823" w:rsidP="00543838">
      <w:pPr>
        <w:pStyle w:val="References"/>
      </w:pPr>
      <w:r>
        <w:rPr>
          <w:rFonts w:hint="eastAsia"/>
        </w:rPr>
        <w:t>3</w:t>
      </w:r>
      <w:r>
        <w:t xml:space="preserve">GPP TS38.331-h30, </w:t>
      </w:r>
      <w:r w:rsidRPr="00F81823">
        <w:t>Radio Resource Control (RRC); Protocol specification</w:t>
      </w:r>
    </w:p>
    <w:sectPr w:rsidR="00737633" w:rsidSect="002D0B7E">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1B15" w:rsidRDefault="00481B15">
      <w:pPr>
        <w:spacing w:after="0"/>
      </w:pPr>
      <w:r>
        <w:separator/>
      </w:r>
    </w:p>
  </w:endnote>
  <w:endnote w:type="continuationSeparator" w:id="0">
    <w:p w:rsidR="00481B15" w:rsidRDefault="00481B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1B15" w:rsidRDefault="00481B15">
      <w:pPr>
        <w:spacing w:after="0"/>
      </w:pPr>
      <w:r>
        <w:separator/>
      </w:r>
    </w:p>
  </w:footnote>
  <w:footnote w:type="continuationSeparator" w:id="0">
    <w:p w:rsidR="00481B15" w:rsidRDefault="00481B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17FEB"/>
    <w:rsid w:val="00026559"/>
    <w:rsid w:val="00046A52"/>
    <w:rsid w:val="0006683B"/>
    <w:rsid w:val="000A548C"/>
    <w:rsid w:val="000A5F9B"/>
    <w:rsid w:val="000B45CA"/>
    <w:rsid w:val="00130F91"/>
    <w:rsid w:val="00162D5A"/>
    <w:rsid w:val="001B6A64"/>
    <w:rsid w:val="001C5EC3"/>
    <w:rsid w:val="001D3C86"/>
    <w:rsid w:val="00203AFE"/>
    <w:rsid w:val="0020681C"/>
    <w:rsid w:val="00242E32"/>
    <w:rsid w:val="00245E1C"/>
    <w:rsid w:val="00267E24"/>
    <w:rsid w:val="002904DA"/>
    <w:rsid w:val="002B21B5"/>
    <w:rsid w:val="002B24DC"/>
    <w:rsid w:val="002D0459"/>
    <w:rsid w:val="002D0B7E"/>
    <w:rsid w:val="00324023"/>
    <w:rsid w:val="003264B7"/>
    <w:rsid w:val="00326533"/>
    <w:rsid w:val="00331F86"/>
    <w:rsid w:val="0037677B"/>
    <w:rsid w:val="00391338"/>
    <w:rsid w:val="003A4F2B"/>
    <w:rsid w:val="003D4E84"/>
    <w:rsid w:val="003F3295"/>
    <w:rsid w:val="003F757B"/>
    <w:rsid w:val="004105DB"/>
    <w:rsid w:val="00427435"/>
    <w:rsid w:val="004607C3"/>
    <w:rsid w:val="00481B15"/>
    <w:rsid w:val="004840D6"/>
    <w:rsid w:val="00487603"/>
    <w:rsid w:val="004A7E15"/>
    <w:rsid w:val="004B0D86"/>
    <w:rsid w:val="004F3810"/>
    <w:rsid w:val="00502F39"/>
    <w:rsid w:val="00543838"/>
    <w:rsid w:val="00546597"/>
    <w:rsid w:val="005926FA"/>
    <w:rsid w:val="005A5996"/>
    <w:rsid w:val="005D20F1"/>
    <w:rsid w:val="005D36E0"/>
    <w:rsid w:val="006017DD"/>
    <w:rsid w:val="006035C5"/>
    <w:rsid w:val="006041B9"/>
    <w:rsid w:val="00616C88"/>
    <w:rsid w:val="0065039A"/>
    <w:rsid w:val="00651E5D"/>
    <w:rsid w:val="00670B87"/>
    <w:rsid w:val="00680FB8"/>
    <w:rsid w:val="006833E2"/>
    <w:rsid w:val="00690330"/>
    <w:rsid w:val="006E74B6"/>
    <w:rsid w:val="006F5CA1"/>
    <w:rsid w:val="007009DB"/>
    <w:rsid w:val="00724E51"/>
    <w:rsid w:val="00737633"/>
    <w:rsid w:val="00775698"/>
    <w:rsid w:val="007967DD"/>
    <w:rsid w:val="007A0531"/>
    <w:rsid w:val="007A3B88"/>
    <w:rsid w:val="007A5B19"/>
    <w:rsid w:val="00806409"/>
    <w:rsid w:val="00861714"/>
    <w:rsid w:val="008771F9"/>
    <w:rsid w:val="008A5229"/>
    <w:rsid w:val="008A716E"/>
    <w:rsid w:val="008F0437"/>
    <w:rsid w:val="00910C20"/>
    <w:rsid w:val="009741BC"/>
    <w:rsid w:val="00981AB4"/>
    <w:rsid w:val="009945FE"/>
    <w:rsid w:val="00994A55"/>
    <w:rsid w:val="009951A9"/>
    <w:rsid w:val="009A6235"/>
    <w:rsid w:val="009D062C"/>
    <w:rsid w:val="00A01E8F"/>
    <w:rsid w:val="00A0555A"/>
    <w:rsid w:val="00A136F9"/>
    <w:rsid w:val="00A23AC4"/>
    <w:rsid w:val="00A2589D"/>
    <w:rsid w:val="00A361F7"/>
    <w:rsid w:val="00A72ADF"/>
    <w:rsid w:val="00A7446C"/>
    <w:rsid w:val="00A9321D"/>
    <w:rsid w:val="00A9439A"/>
    <w:rsid w:val="00AC3166"/>
    <w:rsid w:val="00AC7215"/>
    <w:rsid w:val="00AF6ED7"/>
    <w:rsid w:val="00B15576"/>
    <w:rsid w:val="00B46C00"/>
    <w:rsid w:val="00B52539"/>
    <w:rsid w:val="00B63FEA"/>
    <w:rsid w:val="00B70246"/>
    <w:rsid w:val="00BC3163"/>
    <w:rsid w:val="00BD2263"/>
    <w:rsid w:val="00C32781"/>
    <w:rsid w:val="00C4124B"/>
    <w:rsid w:val="00C511DE"/>
    <w:rsid w:val="00C91E19"/>
    <w:rsid w:val="00C94BF6"/>
    <w:rsid w:val="00C95BEE"/>
    <w:rsid w:val="00CF03B6"/>
    <w:rsid w:val="00D11338"/>
    <w:rsid w:val="00D72C3B"/>
    <w:rsid w:val="00DF5800"/>
    <w:rsid w:val="00E133C3"/>
    <w:rsid w:val="00E42731"/>
    <w:rsid w:val="00E44A17"/>
    <w:rsid w:val="00E927CC"/>
    <w:rsid w:val="00EA0D09"/>
    <w:rsid w:val="00EA0F6D"/>
    <w:rsid w:val="00EB5444"/>
    <w:rsid w:val="00ED5664"/>
    <w:rsid w:val="00ED61F5"/>
    <w:rsid w:val="00F143FF"/>
    <w:rsid w:val="00F17F2A"/>
    <w:rsid w:val="00F20615"/>
    <w:rsid w:val="00F2238C"/>
    <w:rsid w:val="00F3139D"/>
    <w:rsid w:val="00F45EED"/>
    <w:rsid w:val="00F56022"/>
    <w:rsid w:val="00F6288A"/>
    <w:rsid w:val="00F62AF3"/>
    <w:rsid w:val="00F70022"/>
    <w:rsid w:val="00F81823"/>
    <w:rsid w:val="00FD6B32"/>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B2E6B5"/>
  <w15:docId w15:val="{5E1306E1-F5FA-4621-AB9E-0931B9844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95BEE"/>
    <w:pPr>
      <w:spacing w:after="12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tabs>
        <w:tab w:val="left" w:pos="1418"/>
        <w:tab w:val="left" w:pos="4678"/>
        <w:tab w:val="left" w:pos="5954"/>
        <w:tab w:val="left" w:pos="7088"/>
      </w:tabs>
      <w:spacing w:after="240"/>
    </w:pPr>
    <w:rPr>
      <w:rFonts w:ascii="Arial" w:hAnsi="Arial"/>
    </w:rPr>
  </w:style>
  <w:style w:type="paragraph" w:styleId="a4">
    <w:name w:val="Body Text"/>
    <w:basedOn w:val="a"/>
    <w:semiHidden/>
    <w:rPr>
      <w:rFonts w:ascii="Arial" w:hAnsi="Arial" w:cs="Arial"/>
      <w:color w:val="FF0000"/>
    </w:rPr>
  </w:style>
  <w:style w:type="paragraph" w:styleId="a5">
    <w:name w:val="Balloon Text"/>
    <w:basedOn w:val="a"/>
    <w:link w:val="a6"/>
    <w:uiPriority w:val="99"/>
    <w:semiHidden/>
    <w:unhideWhenUsed/>
    <w:rPr>
      <w:rFonts w:ascii="Segoe UI" w:hAnsi="Segoe UI" w:cs="Segoe UI"/>
      <w:sz w:val="18"/>
      <w:szCs w:val="18"/>
    </w:rPr>
  </w:style>
  <w:style w:type="paragraph" w:styleId="a7">
    <w:name w:val="footer"/>
    <w:basedOn w:val="a"/>
    <w:semiHidden/>
    <w:qFormat/>
    <w:pPr>
      <w:tabs>
        <w:tab w:val="center" w:pos="4153"/>
        <w:tab w:val="right" w:pos="8306"/>
      </w:tabs>
    </w:pPr>
  </w:style>
  <w:style w:type="paragraph" w:styleId="a8">
    <w:name w:val="header"/>
    <w:basedOn w:val="a"/>
    <w:semiHidden/>
    <w:qFormat/>
    <w:pPr>
      <w:tabs>
        <w:tab w:val="center" w:pos="4153"/>
        <w:tab w:val="right" w:pos="8306"/>
      </w:tabs>
    </w:pPr>
  </w:style>
  <w:style w:type="character" w:styleId="a9">
    <w:name w:val="Strong"/>
    <w:uiPriority w:val="22"/>
    <w:qFormat/>
    <w:rPr>
      <w:b/>
      <w:bCs/>
    </w:rPr>
  </w:style>
  <w:style w:type="character" w:styleId="aa">
    <w:name w:val="page number"/>
    <w:basedOn w:val="a0"/>
    <w:semiHidden/>
    <w:qFormat/>
  </w:style>
  <w:style w:type="character" w:styleId="ab">
    <w:name w:val="annotation reference"/>
    <w:semiHidden/>
    <w:rPr>
      <w:sz w:val="16"/>
    </w:rPr>
  </w:style>
  <w:style w:type="paragraph" w:customStyle="1" w:styleId="DECISION">
    <w:name w:val="DECISION"/>
    <w:basedOn w:val="a"/>
    <w:pPr>
      <w:widowControl w:val="0"/>
      <w:numPr>
        <w:numId w:val="2"/>
      </w:numPr>
      <w:spacing w:before="120"/>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6">
    <w:name w:val="批注框文本 字符"/>
    <w:link w:val="a5"/>
    <w:uiPriority w:val="99"/>
    <w:semiHidden/>
    <w:rPr>
      <w:rFonts w:ascii="Segoe UI" w:hAnsi="Segoe UI" w:cs="Segoe UI"/>
      <w:sz w:val="18"/>
      <w:szCs w:val="18"/>
      <w:lang w:eastAsia="en-US"/>
    </w:rPr>
  </w:style>
  <w:style w:type="paragraph" w:styleId="ac">
    <w:name w:val="List Paragraph"/>
    <w:basedOn w:val="a"/>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rPr>
      <w:lang w:val="en-GB" w:eastAsia="en-US"/>
    </w:rPr>
  </w:style>
  <w:style w:type="paragraph" w:styleId="ad">
    <w:name w:val="Quote"/>
    <w:basedOn w:val="a"/>
    <w:next w:val="a"/>
    <w:link w:val="ae"/>
    <w:uiPriority w:val="29"/>
    <w:qFormat/>
    <w:pPr>
      <w:spacing w:before="200" w:after="160"/>
      <w:ind w:left="864" w:right="864"/>
      <w:jc w:val="center"/>
    </w:pPr>
    <w:rPr>
      <w:i/>
      <w:iCs/>
      <w:color w:val="404040"/>
    </w:rPr>
  </w:style>
  <w:style w:type="character" w:customStyle="1" w:styleId="ae">
    <w:name w:val="引用 字符"/>
    <w:link w:val="ad"/>
    <w:uiPriority w:val="29"/>
    <w:rPr>
      <w:i/>
      <w:iCs/>
      <w:color w:val="404040"/>
      <w:lang w:val="en-GB" w:eastAsia="en-US"/>
    </w:rPr>
  </w:style>
  <w:style w:type="character" w:customStyle="1" w:styleId="11">
    <w:name w:val="书籍标题1"/>
    <w:uiPriority w:val="33"/>
    <w:qFormat/>
    <w:rPr>
      <w:b/>
      <w:bCs/>
      <w:i/>
      <w:iCs/>
      <w:spacing w:val="5"/>
    </w:rPr>
  </w:style>
  <w:style w:type="paragraph" w:styleId="af">
    <w:name w:val="No Spacing"/>
    <w:uiPriority w:val="1"/>
    <w:qFormat/>
    <w:rPr>
      <w:rFonts w:eastAsia="Times New Roman"/>
      <w:lang w:val="en-GB" w:eastAsia="en-US"/>
    </w:rPr>
  </w:style>
  <w:style w:type="table" w:styleId="af0">
    <w:name w:val="Table Grid"/>
    <w:basedOn w:val="a1"/>
    <w:uiPriority w:val="39"/>
    <w:rsid w:val="004274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rsid w:val="007A5B19"/>
    <w:pPr>
      <w:spacing w:before="100" w:beforeAutospacing="1" w:after="100" w:afterAutospacing="1"/>
      <w:ind w:left="1622" w:hanging="363"/>
      <w:jc w:val="left"/>
    </w:pPr>
    <w:rPr>
      <w:rFonts w:ascii="Arial" w:eastAsia="MS Mincho" w:hAnsi="Arial" w:cs="Arial"/>
      <w:sz w:val="24"/>
      <w:szCs w:val="24"/>
      <w:lang w:val="en-US" w:eastAsia="zh-CN"/>
    </w:rPr>
  </w:style>
  <w:style w:type="paragraph" w:customStyle="1" w:styleId="B1">
    <w:name w:val="B1"/>
    <w:basedOn w:val="a"/>
    <w:link w:val="B1Zchn"/>
    <w:qFormat/>
    <w:rsid w:val="00F70022"/>
    <w:pPr>
      <w:spacing w:after="180"/>
      <w:ind w:left="568" w:hanging="284"/>
      <w:jc w:val="left"/>
    </w:pPr>
    <w:rPr>
      <w:lang w:val="x-none"/>
    </w:rPr>
  </w:style>
  <w:style w:type="character" w:customStyle="1" w:styleId="B1Zchn">
    <w:name w:val="B1 Zchn"/>
    <w:link w:val="B1"/>
    <w:qFormat/>
    <w:rsid w:val="00F70022"/>
    <w:rPr>
      <w:rFonts w:eastAsia="宋体"/>
      <w:lang w:val="x-none" w:eastAsia="en-US"/>
    </w:rPr>
  </w:style>
  <w:style w:type="paragraph" w:customStyle="1" w:styleId="TAL">
    <w:name w:val="TAL"/>
    <w:basedOn w:val="a"/>
    <w:rsid w:val="006833E2"/>
    <w:pPr>
      <w:keepNext/>
      <w:keepLines/>
      <w:widowControl w:val="0"/>
      <w:overflowPunct w:val="0"/>
      <w:autoSpaceDE w:val="0"/>
      <w:autoSpaceDN w:val="0"/>
      <w:adjustRightInd w:val="0"/>
      <w:spacing w:before="100" w:beforeAutospacing="1" w:after="0"/>
      <w:jc w:val="left"/>
      <w:textAlignment w:val="baseline"/>
    </w:pPr>
    <w:rPr>
      <w:rFonts w:ascii="Arial" w:eastAsia="Times New Roman" w:hAnsi="Arial"/>
      <w:sz w:val="18"/>
      <w:szCs w:val="18"/>
      <w:lang w:val="en-US" w:eastAsia="zh-CN"/>
    </w:rPr>
  </w:style>
  <w:style w:type="paragraph" w:customStyle="1" w:styleId="TAH">
    <w:name w:val="TAH"/>
    <w:basedOn w:val="a"/>
    <w:rsid w:val="006833E2"/>
    <w:pPr>
      <w:keepNext/>
      <w:keepLines/>
      <w:widowControl w:val="0"/>
      <w:overflowPunct w:val="0"/>
      <w:autoSpaceDE w:val="0"/>
      <w:autoSpaceDN w:val="0"/>
      <w:adjustRightInd w:val="0"/>
      <w:spacing w:before="100" w:beforeAutospacing="1" w:after="0"/>
      <w:jc w:val="center"/>
      <w:textAlignment w:val="baseline"/>
    </w:pPr>
    <w:rPr>
      <w:rFonts w:ascii="Arial" w:eastAsia="Times New Roman" w:hAnsi="Arial"/>
      <w:b/>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537745">
      <w:bodyDiv w:val="1"/>
      <w:marLeft w:val="0"/>
      <w:marRight w:val="0"/>
      <w:marTop w:val="0"/>
      <w:marBottom w:val="0"/>
      <w:divBdr>
        <w:top w:val="none" w:sz="0" w:space="0" w:color="auto"/>
        <w:left w:val="none" w:sz="0" w:space="0" w:color="auto"/>
        <w:bottom w:val="none" w:sz="0" w:space="0" w:color="auto"/>
        <w:right w:val="none" w:sz="0" w:space="0" w:color="auto"/>
      </w:divBdr>
    </w:div>
    <w:div w:id="705637756">
      <w:bodyDiv w:val="1"/>
      <w:marLeft w:val="0"/>
      <w:marRight w:val="0"/>
      <w:marTop w:val="0"/>
      <w:marBottom w:val="0"/>
      <w:divBdr>
        <w:top w:val="none" w:sz="0" w:space="0" w:color="auto"/>
        <w:left w:val="none" w:sz="0" w:space="0" w:color="auto"/>
        <w:bottom w:val="none" w:sz="0" w:space="0" w:color="auto"/>
        <w:right w:val="none" w:sz="0" w:space="0" w:color="auto"/>
      </w:divBdr>
    </w:div>
    <w:div w:id="811285810">
      <w:bodyDiv w:val="1"/>
      <w:marLeft w:val="0"/>
      <w:marRight w:val="0"/>
      <w:marTop w:val="0"/>
      <w:marBottom w:val="0"/>
      <w:divBdr>
        <w:top w:val="none" w:sz="0" w:space="0" w:color="auto"/>
        <w:left w:val="none" w:sz="0" w:space="0" w:color="auto"/>
        <w:bottom w:val="none" w:sz="0" w:space="0" w:color="auto"/>
        <w:right w:val="none" w:sz="0" w:space="0" w:color="auto"/>
      </w:divBdr>
    </w:div>
    <w:div w:id="1475220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356F9-2408-4D54-BA22-BD960BD9A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2</Pages>
  <Words>874</Words>
  <Characters>4988</Characters>
  <Application>Microsoft Office Word</Application>
  <DocSecurity>0</DocSecurity>
  <Lines>41</Lines>
  <Paragraphs>11</Paragraphs>
  <ScaleCrop>false</ScaleCrop>
  <Company>ZTE Corporation</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93</cp:revision>
  <cp:lastPrinted>2002-04-23T01:10:00Z</cp:lastPrinted>
  <dcterms:created xsi:type="dcterms:W3CDTF">2022-10-06T13:14:00Z</dcterms:created>
  <dcterms:modified xsi:type="dcterms:W3CDTF">2023-02-17T08:46:00Z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FA302CDCF2604BA2B8DC01C77BC10D07</vt:lpwstr>
  </property>
</Properties>
</file>